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document.xml" ContentType="application/vnd.openxmlformats-officedocument.wordprocessingml.document.main+xml"/>
  <Override PartName="/word/theme/theme1.xml" ContentType="application/vnd.openxmlformats-officedocument.theme+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0" w:after="60"/>
        <w:jc w:val="center"/>
        <w:rPr>
          <w:rFonts w:ascii="Times New Roman" w:hAnsi="Times New Roman"/>
        </w:rPr>
      </w:pPr>
      <w:r>
        <w:rPr>
          <w:rFonts w:ascii="Times New Roman" w:hAnsi="Times New Roman"/>
          <w:b/>
          <w:lang w:val="sr-CS"/>
        </w:rPr>
        <w:t>Табела 9.1.</w:t>
      </w:r>
      <w:r>
        <w:rPr>
          <w:rFonts w:ascii="Times New Roman" w:hAnsi="Times New Roman"/>
          <w:lang w:val="sr-CS"/>
        </w:rPr>
        <w:t xml:space="preserve"> Научне, уметничке и стручне квалификације наставника и задужења у настави</w:t>
      </w:r>
    </w:p>
    <w:p>
      <w:pPr>
        <w:pStyle w:val="Normal"/>
        <w:spacing w:before="0" w:after="60"/>
        <w:jc w:val="center"/>
        <w:rPr>
          <w:rFonts w:ascii="Times New Roman" w:hAnsi="Times New Roman"/>
        </w:rPr>
      </w:pPr>
      <w:r>
        <w:rPr>
          <w:rFonts w:ascii="Times New Roman" w:hAnsi="Times New Roman"/>
        </w:rPr>
      </w:r>
    </w:p>
    <w:p>
      <w:pPr>
        <w:pStyle w:val="Normal"/>
        <w:rPr>
          <w:rFonts w:ascii="Times New Roman" w:hAnsi="Times New Roman"/>
          <w:b/>
          <w:b/>
          <w:sz w:val="20"/>
          <w:szCs w:val="20"/>
          <w:lang w:val="sr-CS"/>
        </w:rPr>
      </w:pPr>
      <w:r>
        <w:rPr>
          <w:rFonts w:ascii="Times New Roman" w:hAnsi="Times New Roman"/>
          <w:b/>
          <w:sz w:val="20"/>
          <w:szCs w:val="20"/>
          <w:lang w:val="sr-CS"/>
        </w:rPr>
        <w:t xml:space="preserve">Табела 9. 0. Укупни подаци о наставном особљу у установи </w:t>
      </w:r>
      <w:r>
        <w:rPr>
          <w:rFonts w:ascii="Times New Roman" w:hAnsi="Times New Roman"/>
          <w:b/>
          <w:sz w:val="20"/>
          <w:szCs w:val="20"/>
          <w:lang w:val="sr-Latn-RS"/>
        </w:rPr>
        <w:t>–</w:t>
      </w:r>
      <w:r>
        <w:rPr>
          <w:rFonts w:ascii="Times New Roman" w:hAnsi="Times New Roman"/>
          <w:b/>
          <w:smallCaps/>
          <w:sz w:val="20"/>
          <w:szCs w:val="20"/>
          <w:lang w:val="sr-Latn-RS"/>
        </w:rPr>
        <w:t xml:space="preserve"> ЕЛЕКТРОНСКИ ОБРАЗАЦ</w:t>
      </w:r>
      <w:r>
        <w:rPr>
          <w:rFonts w:ascii="Times New Roman" w:hAnsi="Times New Roman"/>
          <w:b/>
          <w:sz w:val="20"/>
          <w:szCs w:val="20"/>
          <w:lang w:val="sr-CS"/>
        </w:rPr>
        <w:t xml:space="preserve"> ( листа се формира приликом уноса података у електронски формулар, установа је обавезна да у ову табелу унесе све податке који се траже)</w:t>
      </w:r>
    </w:p>
    <w:p>
      <w:pPr>
        <w:pStyle w:val="Normal"/>
        <w:tabs>
          <w:tab w:val="left" w:pos="567" w:leader="none"/>
        </w:tabs>
        <w:spacing w:before="0" w:after="60"/>
        <w:jc w:val="both"/>
        <w:rPr>
          <w:rFonts w:ascii="Times New Roman" w:hAnsi="Times New Roman"/>
          <w:b/>
          <w:b/>
          <w:i/>
          <w:i/>
          <w:iCs/>
          <w:color w:val="FF0000"/>
          <w:sz w:val="20"/>
          <w:szCs w:val="20"/>
        </w:rPr>
      </w:pPr>
      <w:r>
        <w:rPr>
          <w:rFonts w:ascii="Times New Roman" w:hAnsi="Times New Roman"/>
          <w:b/>
          <w:i/>
          <w:iCs/>
          <w:color w:val="FF0000"/>
          <w:sz w:val="20"/>
          <w:szCs w:val="20"/>
        </w:rPr>
      </w:r>
    </w:p>
    <w:p>
      <w:pPr>
        <w:pStyle w:val="Normal"/>
        <w:tabs>
          <w:tab w:val="left" w:pos="567" w:leader="none"/>
        </w:tabs>
        <w:spacing w:before="0" w:after="60"/>
        <w:jc w:val="both"/>
        <w:rPr>
          <w:rFonts w:ascii="Times New Roman" w:hAnsi="Times New Roman"/>
          <w:i/>
          <w:i/>
          <w:iCs/>
          <w:sz w:val="20"/>
          <w:szCs w:val="20"/>
          <w:lang w:val="sr-CS"/>
        </w:rPr>
      </w:pPr>
      <w:r>
        <w:rPr>
          <w:rFonts w:ascii="Times New Roman" w:hAnsi="Times New Roman"/>
          <w:b/>
          <w:i/>
          <w:iCs/>
          <w:sz w:val="20"/>
          <w:szCs w:val="20"/>
          <w:lang w:val="sr-CS"/>
        </w:rPr>
        <w:t>Табела 9.1.</w:t>
      </w:r>
      <w:r>
        <w:rPr>
          <w:rFonts w:ascii="Times New Roman" w:hAnsi="Times New Roman"/>
          <w:i/>
          <w:iCs/>
          <w:sz w:val="20"/>
          <w:szCs w:val="20"/>
          <w:lang w:val="sr-CS"/>
        </w:rPr>
        <w:t xml:space="preserve"> Научне, уметничке и стручне квалификације наставника и задужења у настави</w:t>
      </w:r>
    </w:p>
    <w:p>
      <w:pPr>
        <w:pStyle w:val="Normal"/>
        <w:tabs>
          <w:tab w:val="left" w:pos="567" w:leader="none"/>
        </w:tabs>
        <w:spacing w:before="0" w:after="60"/>
        <w:jc w:val="both"/>
        <w:rPr>
          <w:rFonts w:ascii="Times New Roman" w:hAnsi="Times New Roman"/>
          <w:sz w:val="20"/>
          <w:szCs w:val="20"/>
          <w:lang w:val="sr-CS"/>
        </w:rPr>
      </w:pPr>
      <w:r>
        <w:rPr>
          <w:rFonts w:ascii="Times New Roman" w:hAnsi="Times New Roman"/>
          <w:sz w:val="20"/>
          <w:szCs w:val="20"/>
          <w:lang w:val="sr-CS"/>
        </w:rPr>
      </w:r>
    </w:p>
    <w:p>
      <w:pPr>
        <w:pStyle w:val="Normal"/>
        <w:tabs>
          <w:tab w:val="left" w:pos="567" w:leader="none"/>
        </w:tabs>
        <w:spacing w:before="0" w:after="60"/>
        <w:jc w:val="both"/>
        <w:rPr>
          <w:rFonts w:ascii="Times New Roman" w:hAnsi="Times New Roman"/>
          <w:bCs/>
          <w:sz w:val="20"/>
          <w:szCs w:val="20"/>
          <w:lang w:val="sr-CS"/>
        </w:rPr>
      </w:pPr>
      <w:r>
        <w:rPr>
          <w:rFonts w:ascii="Times New Roman" w:hAnsi="Times New Roman"/>
          <w:bCs/>
          <w:sz w:val="20"/>
          <w:szCs w:val="20"/>
          <w:lang w:val="sr-CS"/>
        </w:rPr>
        <w:t xml:space="preserve">Опис квалификација треба дати за све наставнике који учествују у реализацији студијског програма а би се избегло понављање, опис квалификација се алтернативно може дати у оквиру </w:t>
      </w:r>
      <w:r>
        <w:rPr>
          <w:rFonts w:ascii="Times New Roman" w:hAnsi="Times New Roman"/>
          <w:b/>
          <w:sz w:val="20"/>
          <w:szCs w:val="20"/>
          <w:lang w:val="sr-CS"/>
        </w:rPr>
        <w:t xml:space="preserve">књиге наставника </w:t>
      </w:r>
      <w:r>
        <w:rPr>
          <w:rFonts w:ascii="Times New Roman" w:hAnsi="Times New Roman"/>
          <w:bCs/>
          <w:sz w:val="20"/>
          <w:szCs w:val="20"/>
          <w:lang w:val="sr-CS"/>
        </w:rPr>
        <w:t xml:space="preserve">урађене по овом узору за све наставнике високошколске установе. Књига наставника у том случају </w:t>
      </w:r>
    </w:p>
    <w:p>
      <w:pPr>
        <w:pStyle w:val="Normal"/>
        <w:tabs>
          <w:tab w:val="left" w:pos="567" w:leader="none"/>
        </w:tabs>
        <w:spacing w:before="0" w:after="60"/>
        <w:jc w:val="both"/>
        <w:rPr>
          <w:rFonts w:ascii="Times New Roman" w:hAnsi="Times New Roman"/>
          <w:sz w:val="20"/>
          <w:szCs w:val="20"/>
          <w:lang w:val="sr-Latn-RS"/>
        </w:rPr>
      </w:pPr>
      <w:r>
        <w:rPr>
          <w:rFonts w:ascii="Times New Roman" w:hAnsi="Times New Roman"/>
          <w:bCs/>
          <w:sz w:val="20"/>
          <w:szCs w:val="20"/>
          <w:lang w:val="sr-CS"/>
        </w:rPr>
        <w:t>представља јединствен прилог за све студијске програме.</w:t>
      </w:r>
      <w:r>
        <w:rPr>
          <w:rFonts w:ascii="Times New Roman" w:hAnsi="Times New Roman"/>
          <w:sz w:val="20"/>
          <w:szCs w:val="20"/>
          <w:lang w:val="sr-CS"/>
        </w:rPr>
        <w:t xml:space="preserve"> </w:t>
      </w:r>
    </w:p>
    <w:p>
      <w:pPr>
        <w:pStyle w:val="Normal"/>
        <w:tabs>
          <w:tab w:val="left" w:pos="567" w:leader="none"/>
        </w:tabs>
        <w:spacing w:before="0" w:after="60"/>
        <w:jc w:val="both"/>
        <w:rPr>
          <w:rFonts w:ascii="Times New Roman" w:hAnsi="Times New Roman"/>
          <w:sz w:val="20"/>
          <w:szCs w:val="20"/>
        </w:rPr>
      </w:pPr>
      <w:r>
        <w:rPr>
          <w:rFonts w:ascii="Times New Roman" w:hAnsi="Times New Roman"/>
          <w:sz w:val="20"/>
          <w:szCs w:val="20"/>
        </w:rPr>
      </w:r>
    </w:p>
    <w:p>
      <w:pPr>
        <w:pStyle w:val="Normal"/>
        <w:tabs>
          <w:tab w:val="left" w:pos="567" w:leader="none"/>
        </w:tabs>
        <w:spacing w:before="0" w:after="60"/>
        <w:jc w:val="both"/>
        <w:rPr>
          <w:rFonts w:ascii="Times New Roman" w:hAnsi="Times New Roman"/>
          <w:sz w:val="20"/>
          <w:szCs w:val="20"/>
        </w:rPr>
      </w:pPr>
      <w:r>
        <w:rPr>
          <w:rFonts w:ascii="Times New Roman" w:hAnsi="Times New Roman"/>
          <w:sz w:val="20"/>
          <w:szCs w:val="20"/>
        </w:rPr>
      </w:r>
    </w:p>
    <w:tbl>
      <w:tblPr>
        <w:tblW w:w="8954" w:type="dxa"/>
        <w:jc w:val="lef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noVBand="0" w:val="01e0" w:noHBand="0" w:lastColumn="1" w:firstColumn="1" w:lastRow="1" w:firstRow="1"/>
      </w:tblPr>
      <w:tblGrid>
        <w:gridCol w:w="2337"/>
        <w:gridCol w:w="983"/>
        <w:gridCol w:w="1036"/>
        <w:gridCol w:w="874"/>
        <w:gridCol w:w="1838"/>
        <w:gridCol w:w="1886"/>
      </w:tblGrid>
      <w:tr>
        <w:trPr>
          <w:trHeight w:val="427" w:hRule="atLeast"/>
        </w:trPr>
        <w:tc>
          <w:tcPr>
            <w:tcW w:w="4356"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b/>
                <w:b/>
                <w:sz w:val="20"/>
                <w:szCs w:val="20"/>
                <w:lang w:val="sr-CS"/>
              </w:rPr>
            </w:pPr>
            <w:r>
              <w:rPr>
                <w:rFonts w:ascii="Times New Roman" w:hAnsi="Times New Roman"/>
                <w:b/>
                <w:sz w:val="20"/>
                <w:szCs w:val="20"/>
                <w:lang w:val="sr-CS"/>
              </w:rPr>
              <w:t xml:space="preserve">Име и презиме </w:t>
            </w:r>
          </w:p>
        </w:tc>
        <w:tc>
          <w:tcPr>
            <w:tcW w:w="4598"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Милена Вујошевић Јаничић</w:t>
            </w:r>
          </w:p>
        </w:tc>
      </w:tr>
      <w:tr>
        <w:trPr>
          <w:trHeight w:val="427" w:hRule="atLeast"/>
        </w:trPr>
        <w:tc>
          <w:tcPr>
            <w:tcW w:w="4356"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b/>
                <w:b/>
                <w:sz w:val="20"/>
                <w:szCs w:val="20"/>
                <w:lang w:val="sr-CS"/>
              </w:rPr>
            </w:pPr>
            <w:r>
              <w:rPr>
                <w:rFonts w:ascii="Times New Roman" w:hAnsi="Times New Roman"/>
                <w:b/>
                <w:sz w:val="20"/>
                <w:szCs w:val="20"/>
                <w:lang w:val="sr-CS"/>
              </w:rPr>
              <w:t>Звање</w:t>
            </w:r>
          </w:p>
        </w:tc>
        <w:tc>
          <w:tcPr>
            <w:tcW w:w="4598"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Доцент</w:t>
            </w:r>
          </w:p>
        </w:tc>
      </w:tr>
      <w:tr>
        <w:trPr>
          <w:trHeight w:val="427" w:hRule="atLeast"/>
        </w:trPr>
        <w:tc>
          <w:tcPr>
            <w:tcW w:w="4356"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b/>
                <w:b/>
                <w:sz w:val="20"/>
                <w:szCs w:val="20"/>
                <w:lang w:val="sr-CS"/>
              </w:rPr>
            </w:pPr>
            <w:r>
              <w:rPr>
                <w:rFonts w:ascii="Times New Roman" w:hAnsi="Times New Roman"/>
                <w:b/>
                <w:sz w:val="20"/>
                <w:szCs w:val="20"/>
                <w:lang w:val="sr-CS"/>
              </w:rPr>
              <w:t xml:space="preserve">Назив институције у  којој наставник ради са пуним </w:t>
            </w:r>
            <w:r>
              <w:rPr>
                <w:rFonts w:ascii="Times New Roman" w:hAnsi="Times New Roman"/>
                <w:b/>
                <w:sz w:val="20"/>
                <w:szCs w:val="20"/>
              </w:rPr>
              <w:t xml:space="preserve"> или непуним </w:t>
            </w:r>
            <w:r>
              <w:rPr>
                <w:rFonts w:ascii="Times New Roman" w:hAnsi="Times New Roman"/>
                <w:b/>
                <w:sz w:val="20"/>
                <w:szCs w:val="20"/>
                <w:lang w:val="sr-CS"/>
              </w:rPr>
              <w:t>радним временом и од када</w:t>
            </w:r>
          </w:p>
        </w:tc>
        <w:tc>
          <w:tcPr>
            <w:tcW w:w="4598"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Математички факултет</w:t>
            </w:r>
          </w:p>
        </w:tc>
      </w:tr>
      <w:tr>
        <w:trPr>
          <w:trHeight w:val="427" w:hRule="atLeast"/>
        </w:trPr>
        <w:tc>
          <w:tcPr>
            <w:tcW w:w="4356"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b/>
                <w:b/>
                <w:sz w:val="20"/>
                <w:szCs w:val="20"/>
                <w:lang w:val="sr-CS"/>
              </w:rPr>
            </w:pPr>
            <w:r>
              <w:rPr>
                <w:rFonts w:ascii="Times New Roman" w:hAnsi="Times New Roman"/>
                <w:b/>
                <w:sz w:val="20"/>
                <w:szCs w:val="20"/>
                <w:lang w:val="sr-CS"/>
              </w:rPr>
              <w:t>Ужа научна односно уметничка област</w:t>
            </w:r>
          </w:p>
        </w:tc>
        <w:tc>
          <w:tcPr>
            <w:tcW w:w="4598"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Рачунарство</w:t>
            </w:r>
          </w:p>
        </w:tc>
      </w:tr>
      <w:tr>
        <w:trPr>
          <w:trHeight w:val="427" w:hRule="atLeast"/>
        </w:trPr>
        <w:tc>
          <w:tcPr>
            <w:tcW w:w="8954"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b/>
                <w:b/>
                <w:sz w:val="20"/>
                <w:szCs w:val="20"/>
                <w:lang w:val="sr-CS"/>
              </w:rPr>
            </w:pPr>
            <w:r>
              <w:rPr>
                <w:rFonts w:ascii="Times New Roman" w:hAnsi="Times New Roman"/>
                <w:b/>
                <w:sz w:val="20"/>
                <w:szCs w:val="20"/>
                <w:lang w:val="sr-CS"/>
              </w:rPr>
              <w:t>Академска каријера</w:t>
            </w:r>
          </w:p>
        </w:tc>
      </w:tr>
      <w:tr>
        <w:trPr>
          <w:trHeight w:val="427" w:hRule="atLeast"/>
        </w:trPr>
        <w:tc>
          <w:tcPr>
            <w:tcW w:w="23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r>
          </w:p>
        </w:tc>
        <w:tc>
          <w:tcPr>
            <w:tcW w:w="9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 xml:space="preserve">Година </w:t>
            </w:r>
          </w:p>
        </w:tc>
        <w:tc>
          <w:tcPr>
            <w:tcW w:w="191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 xml:space="preserve">Институција </w:t>
            </w:r>
          </w:p>
        </w:tc>
        <w:tc>
          <w:tcPr>
            <w:tcW w:w="183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rPr>
              <w:t>Научна или уметничка о</w:t>
            </w:r>
            <w:r>
              <w:rPr>
                <w:rFonts w:ascii="Times New Roman" w:hAnsi="Times New Roman"/>
                <w:sz w:val="20"/>
                <w:szCs w:val="20"/>
                <w:lang w:val="sr-CS"/>
              </w:rPr>
              <w:t xml:space="preserve">бласт </w:t>
            </w:r>
          </w:p>
        </w:tc>
        <w:tc>
          <w:tcPr>
            <w:tcW w:w="188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rPr>
            </w:pPr>
            <w:r>
              <w:rPr>
                <w:rFonts w:ascii="Times New Roman" w:hAnsi="Times New Roman"/>
                <w:sz w:val="20"/>
                <w:szCs w:val="20"/>
              </w:rPr>
              <w:t>Ужа научна, уметничка или стручна област</w:t>
            </w:r>
          </w:p>
        </w:tc>
      </w:tr>
      <w:tr>
        <w:trPr>
          <w:trHeight w:val="427" w:hRule="atLeast"/>
        </w:trPr>
        <w:tc>
          <w:tcPr>
            <w:tcW w:w="23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Избор у звање</w:t>
            </w:r>
          </w:p>
        </w:tc>
        <w:tc>
          <w:tcPr>
            <w:tcW w:w="9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201</w:t>
            </w:r>
            <w:r>
              <w:rPr>
                <w:rFonts w:ascii="Times New Roman" w:hAnsi="Times New Roman"/>
                <w:sz w:val="20"/>
                <w:szCs w:val="20"/>
                <w:lang w:val="sr-CS"/>
              </w:rPr>
              <w:t>5</w:t>
            </w:r>
            <w:r>
              <w:rPr>
                <w:rFonts w:ascii="Times New Roman" w:hAnsi="Times New Roman"/>
                <w:sz w:val="20"/>
                <w:szCs w:val="20"/>
                <w:lang w:val="sr-CS"/>
              </w:rPr>
              <w:t>.</w:t>
            </w:r>
          </w:p>
        </w:tc>
        <w:tc>
          <w:tcPr>
            <w:tcW w:w="191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Математички факултет</w:t>
            </w:r>
          </w:p>
        </w:tc>
        <w:tc>
          <w:tcPr>
            <w:tcW w:w="183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Рачунарство и информатика</w:t>
            </w:r>
          </w:p>
        </w:tc>
        <w:tc>
          <w:tcPr>
            <w:tcW w:w="188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r>
          </w:p>
        </w:tc>
      </w:tr>
      <w:tr>
        <w:trPr>
          <w:trHeight w:val="427" w:hRule="atLeast"/>
        </w:trPr>
        <w:tc>
          <w:tcPr>
            <w:tcW w:w="23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Докторат</w:t>
            </w:r>
          </w:p>
        </w:tc>
        <w:tc>
          <w:tcPr>
            <w:tcW w:w="9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2013.</w:t>
            </w:r>
          </w:p>
        </w:tc>
        <w:tc>
          <w:tcPr>
            <w:tcW w:w="191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Математички факултет</w:t>
            </w:r>
          </w:p>
        </w:tc>
        <w:tc>
          <w:tcPr>
            <w:tcW w:w="183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Рачунарство и информатика</w:t>
            </w:r>
          </w:p>
        </w:tc>
        <w:tc>
          <w:tcPr>
            <w:tcW w:w="188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Верификација софтвера</w:t>
            </w:r>
          </w:p>
        </w:tc>
      </w:tr>
      <w:tr>
        <w:trPr>
          <w:trHeight w:val="427" w:hRule="atLeast"/>
        </w:trPr>
        <w:tc>
          <w:tcPr>
            <w:tcW w:w="23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Специјализација</w:t>
            </w:r>
          </w:p>
        </w:tc>
        <w:tc>
          <w:tcPr>
            <w:tcW w:w="9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r>
          </w:p>
        </w:tc>
        <w:tc>
          <w:tcPr>
            <w:tcW w:w="191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r>
          </w:p>
        </w:tc>
        <w:tc>
          <w:tcPr>
            <w:tcW w:w="183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r>
          </w:p>
        </w:tc>
        <w:tc>
          <w:tcPr>
            <w:tcW w:w="188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r>
          </w:p>
        </w:tc>
      </w:tr>
      <w:tr>
        <w:trPr>
          <w:trHeight w:val="427" w:hRule="atLeast"/>
        </w:trPr>
        <w:tc>
          <w:tcPr>
            <w:tcW w:w="23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Магистратура</w:t>
            </w:r>
          </w:p>
        </w:tc>
        <w:tc>
          <w:tcPr>
            <w:tcW w:w="9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2008.</w:t>
            </w:r>
          </w:p>
        </w:tc>
        <w:tc>
          <w:tcPr>
            <w:tcW w:w="191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Математички факултет</w:t>
            </w:r>
          </w:p>
        </w:tc>
        <w:tc>
          <w:tcPr>
            <w:tcW w:w="183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Рачунарство и информатика</w:t>
            </w:r>
          </w:p>
        </w:tc>
        <w:tc>
          <w:tcPr>
            <w:tcW w:w="188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Верификација софтвера</w:t>
            </w:r>
          </w:p>
        </w:tc>
      </w:tr>
      <w:tr>
        <w:trPr>
          <w:trHeight w:val="427" w:hRule="atLeast"/>
        </w:trPr>
        <w:tc>
          <w:tcPr>
            <w:tcW w:w="23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rPr>
            </w:pPr>
            <w:r>
              <w:rPr>
                <w:rFonts w:ascii="Times New Roman" w:hAnsi="Times New Roman"/>
                <w:sz w:val="20"/>
                <w:szCs w:val="20"/>
              </w:rPr>
              <w:t>Мастер</w:t>
            </w:r>
          </w:p>
        </w:tc>
        <w:tc>
          <w:tcPr>
            <w:tcW w:w="9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r>
          </w:p>
        </w:tc>
        <w:tc>
          <w:tcPr>
            <w:tcW w:w="191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r>
          </w:p>
        </w:tc>
        <w:tc>
          <w:tcPr>
            <w:tcW w:w="183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r>
          </w:p>
        </w:tc>
        <w:tc>
          <w:tcPr>
            <w:tcW w:w="188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r>
          </w:p>
        </w:tc>
      </w:tr>
      <w:tr>
        <w:trPr>
          <w:trHeight w:val="427" w:hRule="atLeast"/>
        </w:trPr>
        <w:tc>
          <w:tcPr>
            <w:tcW w:w="23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Диплома</w:t>
            </w:r>
          </w:p>
        </w:tc>
        <w:tc>
          <w:tcPr>
            <w:tcW w:w="9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2004.</w:t>
            </w:r>
          </w:p>
        </w:tc>
        <w:tc>
          <w:tcPr>
            <w:tcW w:w="191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Математички факултет</w:t>
            </w:r>
          </w:p>
        </w:tc>
        <w:tc>
          <w:tcPr>
            <w:tcW w:w="183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 xml:space="preserve">Дипломирани математичар, смер рачунарство и </w:t>
            </w:r>
            <w:r>
              <w:rPr>
                <w:rFonts w:ascii="Times New Roman" w:hAnsi="Times New Roman"/>
                <w:sz w:val="20"/>
                <w:szCs w:val="20"/>
                <w:lang w:val="sr-CS"/>
              </w:rPr>
              <w:t>информатик</w:t>
            </w:r>
            <w:r>
              <w:rPr>
                <w:rFonts w:ascii="Times New Roman" w:hAnsi="Times New Roman"/>
                <w:sz w:val="20"/>
                <w:szCs w:val="20"/>
                <w:lang w:val="sr-CS"/>
              </w:rPr>
              <w:t>а</w:t>
            </w:r>
          </w:p>
        </w:tc>
        <w:tc>
          <w:tcPr>
            <w:tcW w:w="188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r>
          </w:p>
        </w:tc>
      </w:tr>
    </w:tbl>
    <w:p>
      <w:pPr>
        <w:pStyle w:val="Normal"/>
        <w:rPr/>
      </w:pPr>
      <w:r>
        <w:rPr/>
      </w:r>
      <w:r>
        <w:br w:type="page"/>
      </w:r>
    </w:p>
    <w:tbl>
      <w:tblPr>
        <w:tblW w:w="8954" w:type="dxa"/>
        <w:jc w:val="lef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noVBand="0" w:val="01e0" w:noHBand="0" w:lastColumn="1" w:firstColumn="1" w:lastRow="1" w:firstRow="1"/>
      </w:tblPr>
      <w:tblGrid>
        <w:gridCol w:w="815"/>
        <w:gridCol w:w="1068"/>
        <w:gridCol w:w="2585"/>
        <w:gridCol w:w="1352"/>
        <w:gridCol w:w="1575"/>
        <w:gridCol w:w="1558"/>
      </w:tblGrid>
      <w:tr>
        <w:trPr>
          <w:trHeight w:val="427" w:hRule="atLeast"/>
        </w:trPr>
        <w:tc>
          <w:tcPr>
            <w:tcW w:w="8953"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pageBreakBefore/>
              <w:tabs>
                <w:tab w:val="left" w:pos="567" w:leader="none"/>
              </w:tabs>
              <w:spacing w:before="0" w:after="60"/>
              <w:rPr>
                <w:rFonts w:ascii="Times New Roman" w:hAnsi="Times New Roman"/>
                <w:b/>
                <w:b/>
                <w:sz w:val="20"/>
                <w:szCs w:val="20"/>
              </w:rPr>
            </w:pPr>
            <w:r>
              <w:rPr>
                <w:rFonts w:ascii="Times New Roman" w:hAnsi="Times New Roman"/>
                <w:b/>
                <w:sz w:val="20"/>
                <w:szCs w:val="20"/>
                <w:lang w:val="sr-CS"/>
              </w:rPr>
              <w:t xml:space="preserve">Списак предмета за  које  је наставник акредитован </w:t>
            </w:r>
            <w:r>
              <w:rPr>
                <w:rFonts w:ascii="Times New Roman" w:hAnsi="Times New Roman"/>
                <w:b/>
                <w:sz w:val="20"/>
                <w:szCs w:val="20"/>
              </w:rPr>
              <w:t>на првом или другом степену студија</w:t>
            </w:r>
          </w:p>
        </w:tc>
      </w:tr>
      <w:tr>
        <w:trPr>
          <w:trHeight w:val="822" w:hRule="atLeast"/>
        </w:trPr>
        <w:tc>
          <w:tcPr>
            <w:tcW w:w="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Р.Б.</w:t>
            </w:r>
          </w:p>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1</w:t>
            </w:r>
            <w:r>
              <w:rPr>
                <w:rFonts w:ascii="Times New Roman" w:hAnsi="Times New Roman"/>
                <w:sz w:val="20"/>
                <w:szCs w:val="20"/>
              </w:rPr>
              <w:t>,2,3...</w:t>
            </w:r>
            <w:r>
              <w:rPr>
                <w:rFonts w:ascii="Times New Roman" w:hAnsi="Times New Roman"/>
                <w:sz w:val="20"/>
                <w:szCs w:val="20"/>
                <w:lang w:val="sr-CS"/>
              </w:rPr>
              <w:t>.</w:t>
            </w:r>
          </w:p>
        </w:tc>
        <w:tc>
          <w:tcPr>
            <w:tcW w:w="106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rPr>
            </w:pPr>
            <w:r>
              <w:rPr>
                <w:rFonts w:ascii="Times New Roman" w:hAnsi="Times New Roman"/>
                <w:sz w:val="20"/>
                <w:szCs w:val="20"/>
              </w:rPr>
              <w:t>Ознака предмета</w:t>
            </w:r>
          </w:p>
        </w:tc>
        <w:tc>
          <w:tcPr>
            <w:tcW w:w="25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iCs/>
                <w:sz w:val="20"/>
                <w:szCs w:val="20"/>
              </w:rPr>
              <w:t>Назив предмета</w:t>
            </w:r>
            <w:r>
              <w:rPr>
                <w:rFonts w:ascii="Times New Roman" w:hAnsi="Times New Roman"/>
                <w:iCs/>
                <w:sz w:val="20"/>
                <w:szCs w:val="20"/>
                <w:lang w:val="sr-CS"/>
              </w:rPr>
              <w:t xml:space="preserve">     </w:t>
            </w:r>
          </w:p>
        </w:tc>
        <w:tc>
          <w:tcPr>
            <w:tcW w:w="135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rPr>
            </w:pPr>
            <w:r>
              <w:rPr>
                <w:rFonts w:ascii="Times New Roman" w:hAnsi="Times New Roman"/>
                <w:sz w:val="20"/>
                <w:szCs w:val="20"/>
              </w:rPr>
              <w:t>Вид наставе</w:t>
            </w:r>
          </w:p>
        </w:tc>
        <w:tc>
          <w:tcPr>
            <w:tcW w:w="15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rPr>
            </w:pPr>
            <w:r>
              <w:rPr>
                <w:rFonts w:ascii="Times New Roman" w:hAnsi="Times New Roman"/>
                <w:iCs/>
                <w:sz w:val="20"/>
                <w:szCs w:val="20"/>
              </w:rPr>
              <w:t xml:space="preserve">Назив студијског програма </w:t>
            </w:r>
          </w:p>
        </w:tc>
        <w:tc>
          <w:tcPr>
            <w:tcW w:w="155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iCs/>
                <w:sz w:val="20"/>
                <w:szCs w:val="20"/>
              </w:rPr>
              <w:t>В</w:t>
            </w:r>
            <w:r>
              <w:rPr>
                <w:rFonts w:ascii="Times New Roman" w:hAnsi="Times New Roman"/>
                <w:iCs/>
                <w:sz w:val="20"/>
                <w:szCs w:val="20"/>
                <w:lang w:val="sr-CS"/>
              </w:rPr>
              <w:t>рста студија (</w:t>
            </w:r>
            <w:r>
              <w:rPr>
                <w:rFonts w:ascii="Times New Roman" w:hAnsi="Times New Roman"/>
                <w:iCs/>
                <w:sz w:val="20"/>
                <w:szCs w:val="20"/>
              </w:rPr>
              <w:t>ОСС, ССС, ОАС, МСС, МАС, САС)</w:t>
            </w:r>
          </w:p>
        </w:tc>
      </w:tr>
      <w:tr>
        <w:trPr>
          <w:trHeight w:val="427" w:hRule="atLeast"/>
        </w:trPr>
        <w:tc>
          <w:tcPr>
            <w:tcW w:w="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1</w:t>
            </w:r>
          </w:p>
        </w:tc>
        <w:tc>
          <w:tcPr>
            <w:tcW w:w="106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bCs/>
                <w:sz w:val="20"/>
                <w:szCs w:val="20"/>
                <w:lang w:val="sr-CS"/>
              </w:rPr>
              <w:t>Р</w:t>
            </w:r>
            <w:r>
              <w:rPr>
                <w:rFonts w:ascii="Times New Roman" w:hAnsi="Times New Roman"/>
                <w:bCs/>
                <w:sz w:val="20"/>
                <w:szCs w:val="20"/>
                <w:lang w:val="sr-CS"/>
              </w:rPr>
              <w:t>347</w:t>
            </w:r>
          </w:p>
        </w:tc>
        <w:tc>
          <w:tcPr>
            <w:tcW w:w="25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bCs/>
                <w:sz w:val="20"/>
                <w:szCs w:val="20"/>
                <w:lang w:val="sr-CS"/>
              </w:rPr>
              <w:t xml:space="preserve"> </w:t>
            </w:r>
            <w:r>
              <w:rPr>
                <w:rFonts w:ascii="Times New Roman" w:hAnsi="Times New Roman"/>
                <w:bCs/>
                <w:sz w:val="20"/>
                <w:szCs w:val="20"/>
                <w:lang w:val="sr-CS"/>
              </w:rPr>
              <w:t>Верификација софтвера</w:t>
            </w:r>
          </w:p>
        </w:tc>
        <w:tc>
          <w:tcPr>
            <w:tcW w:w="135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Теоријска настава</w:t>
            </w:r>
          </w:p>
        </w:tc>
        <w:tc>
          <w:tcPr>
            <w:tcW w:w="15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bCs/>
                <w:sz w:val="20"/>
                <w:szCs w:val="20"/>
                <w:lang w:val="sr-CS"/>
              </w:rPr>
              <w:t>Мастер академске студије информатике</w:t>
            </w:r>
          </w:p>
        </w:tc>
        <w:tc>
          <w:tcPr>
            <w:tcW w:w="155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МАС</w:t>
            </w:r>
          </w:p>
        </w:tc>
      </w:tr>
      <w:tr>
        <w:trPr>
          <w:trHeight w:val="427" w:hRule="atLeast"/>
        </w:trPr>
        <w:tc>
          <w:tcPr>
            <w:tcW w:w="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2</w:t>
            </w:r>
          </w:p>
        </w:tc>
        <w:tc>
          <w:tcPr>
            <w:tcW w:w="106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bCs/>
                <w:sz w:val="20"/>
                <w:szCs w:val="20"/>
                <w:lang w:val="sr-CS"/>
              </w:rPr>
              <w:t xml:space="preserve">Р341 </w:t>
            </w:r>
          </w:p>
        </w:tc>
        <w:tc>
          <w:tcPr>
            <w:tcW w:w="25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bCs/>
                <w:sz w:val="20"/>
                <w:szCs w:val="20"/>
                <w:lang w:val="sr-CS"/>
              </w:rPr>
              <w:t xml:space="preserve"> </w:t>
            </w:r>
            <w:r>
              <w:rPr>
                <w:rFonts w:ascii="Times New Roman" w:hAnsi="Times New Roman"/>
                <w:bCs/>
                <w:sz w:val="20"/>
                <w:szCs w:val="20"/>
                <w:lang w:val="sr-CS"/>
              </w:rPr>
              <w:t>Дизајн програмских језика</w:t>
            </w:r>
          </w:p>
        </w:tc>
        <w:tc>
          <w:tcPr>
            <w:tcW w:w="135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Теоријска настава</w:t>
            </w:r>
          </w:p>
        </w:tc>
        <w:tc>
          <w:tcPr>
            <w:tcW w:w="15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bCs/>
                <w:sz w:val="20"/>
                <w:szCs w:val="20"/>
                <w:lang w:val="sr-CS"/>
              </w:rPr>
              <w:t>Мастер академске студије информатике</w:t>
            </w:r>
          </w:p>
        </w:tc>
        <w:tc>
          <w:tcPr>
            <w:tcW w:w="155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МАС</w:t>
            </w:r>
          </w:p>
        </w:tc>
      </w:tr>
      <w:tr>
        <w:trPr>
          <w:trHeight w:val="427" w:hRule="atLeast"/>
        </w:trPr>
        <w:tc>
          <w:tcPr>
            <w:tcW w:w="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3</w:t>
            </w:r>
          </w:p>
        </w:tc>
        <w:tc>
          <w:tcPr>
            <w:tcW w:w="106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bCs/>
                <w:sz w:val="20"/>
                <w:szCs w:val="20"/>
                <w:lang w:val="sr-CS"/>
              </w:rPr>
              <w:t>О</w:t>
            </w:r>
            <w:r>
              <w:rPr>
                <w:rFonts w:ascii="Times New Roman" w:hAnsi="Times New Roman"/>
                <w:bCs/>
                <w:sz w:val="20"/>
                <w:szCs w:val="20"/>
                <w:lang w:val="sr-RS"/>
              </w:rPr>
              <w:t>М12</w:t>
            </w:r>
            <w:r>
              <w:rPr>
                <w:rFonts w:ascii="Times New Roman" w:hAnsi="Times New Roman"/>
                <w:bCs/>
                <w:sz w:val="20"/>
                <w:szCs w:val="20"/>
                <w:lang w:val="sr-CS"/>
              </w:rPr>
              <w:t xml:space="preserve"> </w:t>
            </w:r>
          </w:p>
        </w:tc>
        <w:tc>
          <w:tcPr>
            <w:tcW w:w="25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bCs/>
                <w:sz w:val="20"/>
                <w:szCs w:val="20"/>
                <w:lang w:val="sr-CS"/>
              </w:rPr>
              <w:t>Методологија научног и стручног рада</w:t>
            </w:r>
          </w:p>
        </w:tc>
        <w:tc>
          <w:tcPr>
            <w:tcW w:w="135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Теоријска настава</w:t>
            </w:r>
          </w:p>
        </w:tc>
        <w:tc>
          <w:tcPr>
            <w:tcW w:w="15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bCs/>
                <w:sz w:val="20"/>
                <w:szCs w:val="20"/>
                <w:lang w:val="sr-CS"/>
              </w:rPr>
              <w:t>Мастер академске студије информатике</w:t>
            </w:r>
          </w:p>
        </w:tc>
        <w:tc>
          <w:tcPr>
            <w:tcW w:w="155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МАС</w:t>
            </w:r>
          </w:p>
        </w:tc>
      </w:tr>
      <w:tr>
        <w:trPr>
          <w:trHeight w:val="427" w:hRule="atLeast"/>
        </w:trPr>
        <w:tc>
          <w:tcPr>
            <w:tcW w:w="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r>
          </w:p>
        </w:tc>
        <w:tc>
          <w:tcPr>
            <w:tcW w:w="106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r>
          </w:p>
        </w:tc>
        <w:tc>
          <w:tcPr>
            <w:tcW w:w="25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r>
          </w:p>
        </w:tc>
        <w:tc>
          <w:tcPr>
            <w:tcW w:w="135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r>
          </w:p>
        </w:tc>
        <w:tc>
          <w:tcPr>
            <w:tcW w:w="15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r>
          </w:p>
        </w:tc>
        <w:tc>
          <w:tcPr>
            <w:tcW w:w="155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r>
          </w:p>
        </w:tc>
      </w:tr>
      <w:tr>
        <w:trPr>
          <w:trHeight w:val="427" w:hRule="atLeast"/>
        </w:trPr>
        <w:tc>
          <w:tcPr>
            <w:tcW w:w="81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r>
          </w:p>
        </w:tc>
        <w:tc>
          <w:tcPr>
            <w:tcW w:w="106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r>
          </w:p>
        </w:tc>
        <w:tc>
          <w:tcPr>
            <w:tcW w:w="25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r>
          </w:p>
        </w:tc>
        <w:tc>
          <w:tcPr>
            <w:tcW w:w="135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r>
          </w:p>
        </w:tc>
        <w:tc>
          <w:tcPr>
            <w:tcW w:w="15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r>
          </w:p>
        </w:tc>
        <w:tc>
          <w:tcPr>
            <w:tcW w:w="155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r>
          </w:p>
        </w:tc>
      </w:tr>
    </w:tbl>
    <w:p>
      <w:pPr>
        <w:pStyle w:val="Normal"/>
        <w:rPr/>
      </w:pPr>
      <w:r>
        <w:rPr/>
      </w:r>
      <w:bookmarkStart w:id="0" w:name="_GoBack"/>
      <w:bookmarkStart w:id="1" w:name="_GoBack"/>
      <w:bookmarkEnd w:id="1"/>
      <w:r>
        <w:br w:type="page"/>
      </w:r>
    </w:p>
    <w:tbl>
      <w:tblPr>
        <w:tblW w:w="8954" w:type="dxa"/>
        <w:jc w:val="lef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noVBand="0" w:val="01e0" w:noHBand="0" w:lastColumn="1" w:firstColumn="1" w:lastRow="1" w:firstRow="1"/>
      </w:tblPr>
      <w:tblGrid>
        <w:gridCol w:w="1632"/>
        <w:gridCol w:w="586"/>
        <w:gridCol w:w="1873"/>
        <w:gridCol w:w="1558"/>
        <w:gridCol w:w="3305"/>
      </w:tblGrid>
      <w:tr>
        <w:trPr>
          <w:trHeight w:val="427" w:hRule="atLeast"/>
        </w:trPr>
        <w:tc>
          <w:tcPr>
            <w:tcW w:w="8954"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pageBreakBefore/>
              <w:tabs>
                <w:tab w:val="left" w:pos="567" w:leader="none"/>
              </w:tabs>
              <w:spacing w:before="0" w:after="60"/>
              <w:rPr>
                <w:rFonts w:ascii="Times New Roman" w:hAnsi="Times New Roman"/>
                <w:b/>
                <w:b/>
                <w:sz w:val="20"/>
                <w:szCs w:val="20"/>
                <w:lang w:val="sr-CS"/>
              </w:rPr>
            </w:pPr>
            <w:r>
              <w:rPr>
                <w:rFonts w:ascii="Times New Roman" w:hAnsi="Times New Roman"/>
                <w:b/>
                <w:sz w:val="20"/>
                <w:szCs w:val="20"/>
                <w:lang w:val="sr-CS"/>
              </w:rPr>
              <w:t>Репрезентативне референце (минимално 5 не више од 10)</w:t>
            </w:r>
          </w:p>
        </w:tc>
      </w:tr>
      <w:tr>
        <w:trPr>
          <w:trHeight w:val="427" w:hRule="atLeast"/>
        </w:trPr>
        <w:tc>
          <w:tcPr>
            <w:tcW w:w="163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numPr>
                <w:ilvl w:val="0"/>
                <w:numId w:val="1"/>
              </w:numPr>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r>
          </w:p>
        </w:tc>
        <w:tc>
          <w:tcPr>
            <w:tcW w:w="7322"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Mirko Spasić, Milena Vujošević Janičić. Verification Supported Refactoring of Embedded SQL. Software Quality Journal. Springer. https://doi.org/10.1007/s11219-020-09517-y Kategorija M23.</w:t>
            </w:r>
          </w:p>
        </w:tc>
      </w:tr>
      <w:tr>
        <w:trPr>
          <w:trHeight w:val="427" w:hRule="atLeast"/>
        </w:trPr>
        <w:tc>
          <w:tcPr>
            <w:tcW w:w="163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numPr>
                <w:ilvl w:val="0"/>
                <w:numId w:val="1"/>
              </w:numPr>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r>
          </w:p>
        </w:tc>
        <w:tc>
          <w:tcPr>
            <w:tcW w:w="7322"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Milena Vujošević Janičić. Concurrent Bug Finding Based on Bounded Model Checking. International Journal of Software Engineering and Knowledge Engineering. World Scientific Publishing Company. Accepted for publication, to appear in August 2020. Kategorija M23.</w:t>
            </w:r>
          </w:p>
        </w:tc>
      </w:tr>
      <w:tr>
        <w:trPr>
          <w:trHeight w:val="427" w:hRule="atLeast"/>
        </w:trPr>
        <w:tc>
          <w:tcPr>
            <w:tcW w:w="163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numPr>
                <w:ilvl w:val="0"/>
                <w:numId w:val="1"/>
              </w:numPr>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r>
          </w:p>
        </w:tc>
        <w:tc>
          <w:tcPr>
            <w:tcW w:w="7322"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Milena Vujošević Janičić, Filip Marić. Regression Verification for Automated Evaluation of Students Programs. Computer Science and Information Systems, DOI:https://doi.org/10.2298/CSIS181220019V Kategorija: M23</w:t>
            </w:r>
          </w:p>
        </w:tc>
      </w:tr>
      <w:tr>
        <w:trPr>
          <w:trHeight w:val="427" w:hRule="atLeast"/>
        </w:trPr>
        <w:tc>
          <w:tcPr>
            <w:tcW w:w="163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numPr>
                <w:ilvl w:val="0"/>
                <w:numId w:val="1"/>
              </w:numPr>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r>
          </w:p>
        </w:tc>
        <w:tc>
          <w:tcPr>
            <w:tcW w:w="7322"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Dusan Vujošević, Ivana Kovačević, Milena Vujošević Janičić. The learnability of the dimensionalview of data and what to do with it.  Aslib J. Inf.  Manag.  71(1): 38-53 (2018) DOI:https://doi.org/10.1108/AJIM-05-2018-0125 Kategorija: M22</w:t>
            </w:r>
          </w:p>
        </w:tc>
      </w:tr>
      <w:tr>
        <w:trPr>
          <w:trHeight w:val="427" w:hRule="atLeast"/>
        </w:trPr>
        <w:tc>
          <w:tcPr>
            <w:tcW w:w="163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numPr>
                <w:ilvl w:val="0"/>
                <w:numId w:val="1"/>
              </w:numPr>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r>
          </w:p>
        </w:tc>
        <w:tc>
          <w:tcPr>
            <w:tcW w:w="7322"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Milena Vujošević Janičić, Mladen Nikolić, Dušan Tošić, Viktor Kuncak. Software Verification andGraph Similarity for Automated Evaluation of Students’ Assignments.Information and SoftwareTechnology, Volume 55, Issue 6, Pages 1004–1016. Elsevier, 2013. doi:http://dx.doi.org/10.1016/j.infsof.2012.12.005 Kategorija: M21</w:t>
            </w:r>
          </w:p>
        </w:tc>
      </w:tr>
      <w:tr>
        <w:trPr>
          <w:trHeight w:val="427" w:hRule="atLeast"/>
        </w:trPr>
        <w:tc>
          <w:tcPr>
            <w:tcW w:w="163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numPr>
                <w:ilvl w:val="0"/>
                <w:numId w:val="1"/>
              </w:numPr>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r>
          </w:p>
        </w:tc>
        <w:tc>
          <w:tcPr>
            <w:tcW w:w="7322"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Milena Vujošević Janičić, Viktor Kuncak: Development and Evaluation of LAV: an SMT-Based Error Finding Platform. Verified Software: Theories, Tools, Experiments. Lecture Notes in Computer Science, Volume 7152, Springer 2012, ISBN 978-3-642-27704-7.</w:t>
            </w:r>
          </w:p>
        </w:tc>
      </w:tr>
      <w:tr>
        <w:trPr>
          <w:trHeight w:val="427" w:hRule="atLeast"/>
        </w:trPr>
        <w:tc>
          <w:tcPr>
            <w:tcW w:w="163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numPr>
                <w:ilvl w:val="0"/>
                <w:numId w:val="1"/>
              </w:numPr>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r>
          </w:p>
        </w:tc>
        <w:tc>
          <w:tcPr>
            <w:tcW w:w="7322"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Milena Vujošević Janičić, Jovana Kovačević, Danijela Simić, Anđelka Zečević, Aleksandra Kocić: Programiranje 1 - Zbirka zadataka sa rešenjima (u programskom jeziku C). Izdavač: Matematički fakultet, ISBN 978-86-7589-139-0, oktobar 2019.</w:t>
            </w:r>
          </w:p>
        </w:tc>
      </w:tr>
      <w:tr>
        <w:trPr>
          <w:trHeight w:val="427" w:hRule="atLeast"/>
        </w:trPr>
        <w:tc>
          <w:tcPr>
            <w:tcW w:w="163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numPr>
                <w:ilvl w:val="0"/>
                <w:numId w:val="1"/>
              </w:numPr>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r>
          </w:p>
        </w:tc>
        <w:tc>
          <w:tcPr>
            <w:tcW w:w="7322"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Milena Vujošević Janičić, Jelena Graovac, Nina Radojičić, Ana Spasić, Mirko Spasić, Anđelka Zečević: Programiranje 2 - Zbirka zadataka sa rešenjima (u programskom jeziku C). Izdavač: Matematički fakultet, ISBN 978-86-7589-107-9, mart 2016.</w:t>
            </w:r>
          </w:p>
        </w:tc>
      </w:tr>
      <w:tr>
        <w:trPr>
          <w:trHeight w:val="427" w:hRule="atLeast"/>
        </w:trPr>
        <w:tc>
          <w:tcPr>
            <w:tcW w:w="163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numPr>
                <w:ilvl w:val="0"/>
                <w:numId w:val="1"/>
              </w:numPr>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r>
          </w:p>
        </w:tc>
        <w:tc>
          <w:tcPr>
            <w:tcW w:w="7322"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Milena Vujošević Janičić, Jelena Tomašević, Predrag Janičić. Random k-GD-SAT Model and its Phase Transition. Journal of Universal Computer Science, Volume 13, Issue 4, pages 572 -- 591, 2007. Kategorija M23</w:t>
            </w:r>
          </w:p>
        </w:tc>
      </w:tr>
      <w:tr>
        <w:trPr>
          <w:trHeight w:val="427" w:hRule="atLeast"/>
        </w:trPr>
        <w:tc>
          <w:tcPr>
            <w:tcW w:w="163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numPr>
                <w:ilvl w:val="0"/>
                <w:numId w:val="1"/>
              </w:numPr>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r>
          </w:p>
        </w:tc>
        <w:tc>
          <w:tcPr>
            <w:tcW w:w="7322"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r>
          </w:p>
        </w:tc>
      </w:tr>
      <w:tr>
        <w:trPr>
          <w:trHeight w:val="427" w:hRule="atLeast"/>
        </w:trPr>
        <w:tc>
          <w:tcPr>
            <w:tcW w:w="8954"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b/>
                <w:b/>
                <w:sz w:val="20"/>
                <w:szCs w:val="20"/>
                <w:lang w:val="sr-CS"/>
              </w:rPr>
            </w:pPr>
            <w:r>
              <w:rPr>
                <w:rFonts w:ascii="Times New Roman" w:hAnsi="Times New Roman"/>
                <w:b/>
                <w:sz w:val="20"/>
                <w:szCs w:val="20"/>
                <w:lang w:val="sr-CS"/>
              </w:rPr>
              <w:t xml:space="preserve">Збирни подаци научне, односно уметничке и стручне активности наставника </w:t>
            </w:r>
          </w:p>
        </w:tc>
      </w:tr>
      <w:tr>
        <w:trPr>
          <w:trHeight w:val="427" w:hRule="atLeast"/>
        </w:trPr>
        <w:tc>
          <w:tcPr>
            <w:tcW w:w="4091"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pPr>
            <w:r>
              <w:rPr>
                <w:rFonts w:ascii="Times New Roman" w:hAnsi="Times New Roman"/>
                <w:sz w:val="20"/>
                <w:szCs w:val="20"/>
                <w:lang w:val="sr-CS"/>
              </w:rPr>
              <w:t xml:space="preserve">Укупан број цитата </w:t>
            </w:r>
          </w:p>
        </w:tc>
        <w:tc>
          <w:tcPr>
            <w:tcW w:w="4863"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72, по SCOPUS-у, искључујући самоцитате (податак из јанунара 2020.)</w:t>
            </w:r>
          </w:p>
        </w:tc>
      </w:tr>
      <w:tr>
        <w:trPr>
          <w:trHeight w:val="427" w:hRule="atLeast"/>
        </w:trPr>
        <w:tc>
          <w:tcPr>
            <w:tcW w:w="4091"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pPr>
            <w:r>
              <w:rPr>
                <w:rFonts w:ascii="Times New Roman" w:hAnsi="Times New Roman"/>
                <w:sz w:val="20"/>
                <w:szCs w:val="20"/>
                <w:lang w:val="sr-CS"/>
              </w:rPr>
              <w:t xml:space="preserve">Укупан број радова са SCI (SSCI) листе </w:t>
            </w:r>
          </w:p>
        </w:tc>
        <w:tc>
          <w:tcPr>
            <w:tcW w:w="4863"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7</w:t>
            </w:r>
          </w:p>
        </w:tc>
      </w:tr>
      <w:tr>
        <w:trPr>
          <w:trHeight w:val="278" w:hRule="atLeast"/>
        </w:trPr>
        <w:tc>
          <w:tcPr>
            <w:tcW w:w="4091"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Тренутно учешће на пројектима</w:t>
            </w:r>
          </w:p>
        </w:tc>
        <w:tc>
          <w:tcPr>
            <w:tcW w:w="155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pPr>
            <w:r>
              <w:rPr>
                <w:rFonts w:ascii="Times New Roman" w:hAnsi="Times New Roman"/>
                <w:sz w:val="20"/>
                <w:szCs w:val="20"/>
                <w:lang w:val="sr-CS"/>
              </w:rPr>
              <w:t xml:space="preserve">Домаћи </w:t>
            </w:r>
          </w:p>
          <w:p>
            <w:pPr>
              <w:pStyle w:val="Normal"/>
              <w:tabs>
                <w:tab w:val="left" w:pos="567" w:leader="none"/>
              </w:tabs>
              <w:spacing w:before="0" w:after="60"/>
              <w:rPr/>
            </w:pPr>
            <w:r>
              <w:rPr>
                <w:rFonts w:ascii="Times New Roman" w:hAnsi="Times New Roman"/>
                <w:sz w:val="20"/>
                <w:szCs w:val="20"/>
                <w:lang w:val="sr-CS"/>
              </w:rPr>
              <w:t>174021 "Automated Reasoning and Data Mining" (2011-20</w:t>
            </w:r>
            <w:r>
              <w:rPr>
                <w:rFonts w:ascii="Times New Roman" w:hAnsi="Times New Roman"/>
                <w:sz w:val="20"/>
                <w:szCs w:val="20"/>
                <w:lang w:val="sr-CS"/>
              </w:rPr>
              <w:t>19</w:t>
            </w:r>
            <w:r>
              <w:rPr>
                <w:rFonts w:ascii="Times New Roman" w:hAnsi="Times New Roman"/>
                <w:sz w:val="20"/>
                <w:szCs w:val="20"/>
                <w:lang w:val="sr-CS"/>
              </w:rPr>
              <w:t>)</w:t>
            </w:r>
          </w:p>
        </w:tc>
        <w:tc>
          <w:tcPr>
            <w:tcW w:w="330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pPr>
            <w:r>
              <w:rPr>
                <w:rFonts w:ascii="Times New Roman" w:hAnsi="Times New Roman"/>
                <w:sz w:val="20"/>
                <w:szCs w:val="20"/>
                <w:lang w:val="sr-CS"/>
              </w:rPr>
              <w:t xml:space="preserve">Међународни </w:t>
            </w:r>
          </w:p>
          <w:p>
            <w:pPr>
              <w:pStyle w:val="Normal"/>
              <w:tabs>
                <w:tab w:val="left" w:pos="567" w:leader="none"/>
              </w:tabs>
              <w:spacing w:before="0" w:after="60"/>
              <w:rPr/>
            </w:pPr>
            <w:r>
              <w:rPr>
                <w:rFonts w:ascii="Times New Roman" w:hAnsi="Times New Roman"/>
                <w:sz w:val="20"/>
                <w:szCs w:val="20"/>
                <w:lang w:val="sr-CS"/>
              </w:rPr>
              <w:t>COST project EUTypes CA15123  "The European research network on types for programming and verification" (2016-2020)</w:t>
            </w:r>
          </w:p>
        </w:tc>
      </w:tr>
      <w:tr>
        <w:trPr>
          <w:trHeight w:val="427" w:hRule="atLeast"/>
        </w:trPr>
        <w:tc>
          <w:tcPr>
            <w:tcW w:w="2218"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 xml:space="preserve">Усавршавања </w:t>
            </w:r>
          </w:p>
        </w:tc>
        <w:tc>
          <w:tcPr>
            <w:tcW w:w="6736"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r>
          </w:p>
        </w:tc>
      </w:tr>
      <w:tr>
        <w:trPr>
          <w:trHeight w:val="427" w:hRule="atLeast"/>
        </w:trPr>
        <w:tc>
          <w:tcPr>
            <w:tcW w:w="8954"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Други подаци које сматрате релевантним</w:t>
            </w:r>
          </w:p>
        </w:tc>
      </w:tr>
      <w:tr>
        <w:trPr>
          <w:trHeight w:val="427" w:hRule="atLeast"/>
        </w:trPr>
        <w:tc>
          <w:tcPr>
            <w:tcW w:w="8954"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567" w:leader="none"/>
              </w:tabs>
              <w:spacing w:before="0" w:after="60"/>
              <w:rPr>
                <w:rFonts w:ascii="Times New Roman" w:hAnsi="Times New Roman"/>
                <w:sz w:val="20"/>
                <w:szCs w:val="20"/>
                <w:lang w:val="sr-CS"/>
              </w:rPr>
            </w:pPr>
            <w:r>
              <w:rPr>
                <w:rFonts w:ascii="Times New Roman" w:hAnsi="Times New Roman"/>
                <w:sz w:val="20"/>
                <w:szCs w:val="20"/>
                <w:lang w:val="sr-CS"/>
              </w:rPr>
              <w:t>Ове податке дати за сваког наставника, или користећи исту форму формулара формирати књигу свих наставника у установи, која се у том слушају даје као прилог. Ова табела несме прећи једну А4 страну.</w:t>
            </w:r>
          </w:p>
        </w:tc>
      </w:tr>
    </w:tbl>
    <w:p>
      <w:pPr>
        <w:pStyle w:val="Normal"/>
        <w:rPr/>
      </w:pPr>
      <w:r>
        <w:rPr/>
      </w:r>
    </w:p>
    <w:sectPr>
      <w:type w:val="nextPage"/>
      <w:pgSz w:w="11906" w:h="16838"/>
      <w:pgMar w:left="1417" w:right="1417" w:header="0" w:top="1417" w:footer="0" w:bottom="1417"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Times New Roman">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5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sr-Latn-R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sr-Latn-RS"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d0ed1"/>
    <w:pPr>
      <w:widowControl/>
      <w:bidi w:val="0"/>
      <w:spacing w:lineRule="auto" w:line="240" w:before="0" w:after="0"/>
      <w:jc w:val="left"/>
    </w:pPr>
    <w:rPr>
      <w:rFonts w:ascii="Calibri" w:hAnsi="Calibri" w:eastAsia="Calibri" w:cs="Times New Roman" w:asciiTheme="minorHAnsi" w:eastAsiaTheme="minorHAnsi" w:hAnsiTheme="minorHAnsi"/>
      <w:color w:val="auto"/>
      <w:kern w:val="0"/>
      <w:sz w:val="22"/>
      <w:szCs w:val="22"/>
      <w:lang w:val="sr-RS" w:eastAsia="en-US" w:bidi="ar-SA"/>
    </w:rPr>
  </w:style>
  <w:style w:type="character" w:styleId="DefaultParagraphFont" w:default="1">
    <w:name w:val="Default Paragraph Font"/>
    <w:uiPriority w:val="1"/>
    <w:semiHidden/>
    <w:unhideWhenUsed/>
    <w:qFormat/>
    <w:rPr/>
  </w:style>
  <w:style w:type="character" w:styleId="InternetLink">
    <w:name w:val="Internet Link"/>
    <w:rPr>
      <w:color w:val="000080"/>
      <w:u w:val="single"/>
      <w:lang w:val="zxx" w:eastAsia="zxx" w:bidi="zxx"/>
    </w:rPr>
  </w:style>
  <w:style w:type="paragraph" w:styleId="Heading">
    <w:name w:val="Heading"/>
    <w:basedOn w:val="Normal"/>
    <w:next w:val="TextBody"/>
    <w:qFormat/>
    <w:pPr>
      <w:keepNext w:val="true"/>
      <w:spacing w:before="240" w:after="120"/>
    </w:pPr>
    <w:rPr>
      <w:rFonts w:ascii="Liberation Sans" w:hAnsi="Liberation Sans" w:eastAsia="AR PL SungtiL GB"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Application>LibreOffice/6.0.7.3$Linux_X86_64 LibreOffice_project/00m0$Build-3</Application>
  <Pages>3</Pages>
  <Words>630</Words>
  <Characters>4168</Characters>
  <CharactersWithSpaces>4731</CharactersWithSpaces>
  <Paragraphs>97</Paragraphs>
  <Company>Hewlett-Packard</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2020-03-11T08:23:00Z</dcterms:created>
  <dc:creator>Mirjana Nikolic</dc:creator>
  <dc:description/>
  <dc:language>en-US</dc:language>
  <cp:lastModifiedBy/>
  <dcterms:modified xsi:type="dcterms:W3CDTF">2020-04-15T19:53:30Z</dcterms:modified>
  <cp:revision>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